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1C7" w:rsidRPr="00A361C7" w:rsidRDefault="00A361C7" w:rsidP="00A361C7">
      <w:pPr>
        <w:shd w:val="clear" w:color="auto" w:fill="FFFFFF"/>
        <w:spacing w:after="0" w:line="240" w:lineRule="auto"/>
        <w:jc w:val="left"/>
        <w:rPr>
          <w:rFonts w:ascii="Montserrat" w:eastAsia="Times New Roman" w:hAnsi="Montserrat" w:cs="Times New Roman"/>
          <w:b/>
          <w:bCs/>
          <w:color w:val="273350"/>
          <w:sz w:val="27"/>
          <w:szCs w:val="27"/>
          <w:lang w:eastAsia="ru-RU"/>
        </w:rPr>
      </w:pPr>
      <w:proofErr w:type="gramStart"/>
      <w:r w:rsidRPr="00A361C7">
        <w:rPr>
          <w:rFonts w:ascii="Montserrat" w:eastAsia="Times New Roman" w:hAnsi="Montserrat" w:cs="Times New Roman"/>
          <w:b/>
          <w:bCs/>
          <w:color w:val="273350"/>
          <w:sz w:val="27"/>
          <w:szCs w:val="27"/>
          <w:lang w:eastAsia="ru-RU"/>
        </w:rPr>
        <w:t>Сборник материалов о работе органов прокуратуры Российской Федерации по подготовке, организации и участию в судебных процессах о признании военными преступлениями, преступлениями против человечности и геноцидом народа Советского Союза установленных и вновь выявленных преступлений, совершенных против мирного населения и военнопленных немецко-фашистскими захватчиками и их пособниками в годы Великой Отечественной войны 1941–1945 годов на территории СССР (Том I, II)</w:t>
      </w:r>
      <w:proofErr w:type="gramEnd"/>
    </w:p>
    <w:p w:rsidR="00A361C7" w:rsidRPr="00A361C7" w:rsidRDefault="00A361C7" w:rsidP="00A361C7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239000" cy="3276600"/>
            <wp:effectExtent l="19050" t="0" r="0" b="0"/>
            <wp:docPr id="1" name="Рисунок 1" descr="Материалы Генеральной прокуратуры Российской Федерации о рассмотренных судами делах о геноциде советского народа нацистами и их пособниками в годы Великой Отечественной войны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териалы Генеральной прокуратуры Российской Федерации о рассмотренных судами делах о геноциде советского народа нацистами и их пособниками в годы Великой Отечественной войны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1C7" w:rsidRPr="00A361C7" w:rsidRDefault="00A361C7" w:rsidP="00A361C7">
      <w:pPr>
        <w:shd w:val="clear" w:color="auto" w:fill="FFFFFF"/>
        <w:spacing w:after="210" w:line="240" w:lineRule="auto"/>
        <w:jc w:val="center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Уважаемые читатели!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В последнее время наблюдается тенденция, когда отдельные политические силы стремятся пересмотреть результаты</w:t>
      </w:r>
      <w:proofErr w:type="gramStart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В</w:t>
      </w:r>
      <w:proofErr w:type="gramEnd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торой мировой войны, подвергнуть вольной интерпретации имеющиеся исторические факты. Нередко ими откровенно фальсифицируются события тех времен с целью преуменьшить заслуги Советского Союза в разгроме нацистской Германии. Принимаются различного рода заявления, резолюции и законы, в которых вместо однозначного осуждения германского нацизма говорится о неких «преступлениях тоталитарных режимов».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Все это происходит на фоне возрождения нацистской идеологии в странах Балтии и Западной Европы. В Латвии, Литве и Эстонии поощряются организации бывших военнослужащих подразделений СС. Воочию последствия забвения преступлений нацизма можно наблюдать сейчас на территории современной Украины.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В условиях продолжающейся информационной войны отмечаются попытки оправдания и пропаганды нацизма и в России. Сохраняется динамика увеличения количества преступлений и правонарушений, связанных с реабилитацией нацизма. Чем дальше от нас</w:t>
      </w:r>
      <w:proofErr w:type="gramStart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В</w:t>
      </w:r>
      <w:proofErr w:type="gramEnd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торая мировая война, чем меньше свидетелей тех преступлений остается в живых, тем сильнее проявления нацизма, тем активнее попытки сторонников нацистской идеологии заронить и взрастить ее ростки в умах наших сограждан, в том числе молодежи.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В этой связи одна из главных целей публикации настоящего сборника – не допустить замалчивания и искажения реальных итогов</w:t>
      </w:r>
      <w:proofErr w:type="gramStart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В</w:t>
      </w:r>
      <w:proofErr w:type="gramEnd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торой мировой и Великой Отечественной войн и исторической роли в них народа Советского Союза.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proofErr w:type="gramStart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lastRenderedPageBreak/>
        <w:t>На решение этой задачи всецело направлена работа органов прокуратуры по реализуемому в Российской Федерации беспрецедентного проекта «Без срока давности», посвященного сохранению исторической памяти о трагедии мирного населения СССР – жертв военных преступлений нацистов и их пособников в годы Великой Отечественной войны 1941–1945 годов.</w:t>
      </w:r>
      <w:proofErr w:type="gramEnd"/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Сегодня в рамках этого проекта Генеральной прокуратурой Российской Федерации совместно с другими правоохранительными ведомствами принимаются меры по установлению обстоятельств вновь выявленных преступлений нацистов против мирных жителей и лиц, причастных к их совершению.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Работа на данном направлении организована в 34 субъектах Российской Федерации, где имеются сведения о ранее неизвестных местах истребления и захоронения мирного населения и советских военнопленных.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Отобраны и рассекречены архивные материалы о преступлениях участников нацистских карательных отрядов на оккупированных территориях Советского Союза.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Под надзором Генеральной прокуратуры Российской Федерации расследуется уголовное дело, возбужденное по статье 357 Уголовного кодекса Российской Федерации (геноцид), в одном производстве с которым соединены уголовные дела о геноциде советских граждан в различных регионах СССР.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Документирование фактов преднамеренного уничтожения мирного советского населения осуществляется путем выявления архивных материалов в федеральных, региональных и муниципальных архивах, а также посредством фиксации свидетельств очевидцев преступлений.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Работа на указанном направлении позволила выявить обстоятельства массового уничтожения, истязания, рабского труда мирного населения и военнопленных на оккупированной территории и за ее пределами, подтвердить факт содержания в концлагерях в условиях, несовместимых с жизнью.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Получены неоспоримые свидетельства преднамеренного, заранее спланированного политическим, экономическим и военным руководством нацистской Германии истребления мирного населения в целях уничтожения государственности Советского Союза и захвата новых территорий для их последующей колонизации и эксплуатации в соответствии с концепцией расширения «жизненного пространства» германской нации.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В связи с этим одновременно с осуществлением уголовного преследования нами организована масштабная работа в рамках гражданского судопроизводства.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По поручению Генерального прокурора Российской Федерации Краснова Игоря Викторовича обеспечено признание преступлений, совершенных немецко-фашистскими захватчиками и их пособниками против мирного населения и военнопленных в годы Великой Отечественной войны на территории СССР, военными преступлениями, преступлениями против человечности и геноцидом народа Советского Союза.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Такие заявления подаются прокурорами в целях защиты национальных интересов Российской Федерации, законных прав и интересов родственников погибших, а также для последующего доведения до мировой общественности информации о жертвах оккупантов и карателей в годы Великой Отечественной войны.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proofErr w:type="gramStart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Они направлены на противодействие фальсификации истории, реабилитации и оправданию нацизма, героизации нацистских преступников и на подтверждение в </w:t>
      </w: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lastRenderedPageBreak/>
        <w:t>судебном порядке того факта, что в годы Великой Отечественной войны на оккупированных нацистами территориях Советского Союза ими и их пособниками были совершены деяния, которые по действующим нормам международного права являются военными преступлениями, преступлениями против человечности и геноцидом.</w:t>
      </w:r>
      <w:proofErr w:type="gramEnd"/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Судебные решения, вынесенные по результатам рассмотрения таких заявлений в 26 субъектах Российской Федерации, являются логическим продолжением приговора Нюрнбергского трибунала и решений последующих судебных </w:t>
      </w:r>
      <w:proofErr w:type="gramStart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процессов над</w:t>
      </w:r>
      <w:proofErr w:type="gramEnd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нацистскими преступниками и их пособниками. Наряду с материалами уголовных дел, архивными документами и заключениями исследований эти судебные решения уже положены в основу ряда международных документов, которые распространены </w:t>
      </w:r>
      <w:proofErr w:type="spellStart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МИДом</w:t>
      </w:r>
      <w:proofErr w:type="spellEnd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России в качестве официальных документов Генеральной Ассамбл</w:t>
      </w:r>
      <w:proofErr w:type="gramStart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еи ОО</w:t>
      </w:r>
      <w:proofErr w:type="gramEnd"/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Н.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В этом сборнике мы предлагаем вам ознакомиться с бесценным опытом работы органов прокуратуры Российской Федерации по сохранению исторической памяти, противодействию искажению исторических фактов, реабилитации нацизма и героизации нацистских преступников. Первый том сборника охватывает период с 2020 года по 2022 год.</w:t>
      </w:r>
    </w:p>
    <w:p w:rsidR="00A361C7" w:rsidRPr="00A361C7" w:rsidRDefault="00A361C7" w:rsidP="00A361C7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A361C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Приведенные статьи расположены в хронологическом порядке вынесения судами соответствующих решений.</w:t>
      </w:r>
    </w:p>
    <w:p w:rsidR="00BB1C59" w:rsidRDefault="00BB1C59"/>
    <w:sectPr w:rsidR="00BB1C59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1C7"/>
    <w:rsid w:val="003B2EE0"/>
    <w:rsid w:val="00650E48"/>
    <w:rsid w:val="007F348A"/>
    <w:rsid w:val="00A361C7"/>
    <w:rsid w:val="00BB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61C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6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1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2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944</Words>
  <Characters>5387</Characters>
  <Application>Microsoft Office Word</Application>
  <DocSecurity>0</DocSecurity>
  <Lines>44</Lines>
  <Paragraphs>12</Paragraphs>
  <ScaleCrop>false</ScaleCrop>
  <Company>Home</Company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2025-06-10T01:25:00Z</dcterms:created>
  <dcterms:modified xsi:type="dcterms:W3CDTF">2025-06-10T01:26:00Z</dcterms:modified>
</cp:coreProperties>
</file>