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Республика Бурятия Хоринский район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Администрация муниципального образования сельское поселение«Хасуртайское»»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671425, Республика Бурятия Хоринский район с. Хасурта,ул.Центральная, № 108 тел .(факс) 8-301-48-26-166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от «03» ноября 2015 г.                                                        № 23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«Об утверждении административного регламента «Присвоение, изменение и аннулирование адресов объектов недвижимости на территории муниципального образования сельское поселение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"http://pravo-search.minjust.ru:8080/bigs/showDocument.html?id=CD0F2877-A8D4-4AFE-8668-DC69E6198BDD"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4"/>
          <w:szCs w:val="24"/>
          <w:u w:val="none"/>
        </w:rPr>
        <w:t>Постановления от 01.02.2016 г. № 3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4"/>
          <w:szCs w:val="24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На основании Федерального закона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"http://pravo-search.minjust.ru:8080/bigs/showDocument.html?id=96E20C02-1B12-465A-B64C-24AA92270007"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06.10.2003 № 131-ФЗ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«Об общих принципах организации местного самоуправления в Российской Федерации», Федерального закона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"http://pravo-search.minjust.ru:8080/bigs/showDocument.html?id=BBA0BFB1-06C7-4E50-A8D3-FE1045784BF1"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27.07.2010 № 210-ФЗ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«Об организации предоставления государственных и муниципальных услуг», постановления Правительства Российской Федерации от 19.11.2014 г. № 1221 «Об утверждении Правил присвоения, изменения и аннулирования адресов», постановляю: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1.Утвердить прилагаемый административный регламент «Присвоение, изменение и аннулирование адресов объектов недвижимости на территории муниципального образования сельское поселение «Хасуртайское»;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2.Признать утратившим силу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"http://pravo-search.minjust.ru:8080/bigs/showDocument.html?id=90A797C6-E441-4B12-972C-F1D7442FB429"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постановление администрации муниципального образования сельское поселение «Хасуртайское» № 20 от 20.06.2012 г. «Об утверждении Административного регламента администрации муниципального образования сельское поселение «Хасуртайское» по предоставлению муниципальной услуги «Присвоение (уточнение) юридических адресов объектам недвижимого имущества на территории муниципального образования сельское поселение «Хасуртайское»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3.Постановление вступает в силу со дня его официального обнародования на информационных стендах.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4.Контроль за исполнением настоящего постановления оставляю за собой.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Глава муниципального образования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сельское поселение «Хасуртайское»                                                              Л.В.Иванова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Утвержден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Постановлением администрации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МО СП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от 03.11.2015г. №23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АДМИНИСТРАТИВНЫЙ РЕГЛАМЕНТ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предоставления муниципальной услуги «Присвоение, изменение и аннулирование адресов объектов недвижимости на территории муниципального образования сельское поселение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1. Общие положения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1.1 Административный регламент предоставления муниципальной услуги «Присвоение, изменение и аннулирование адресов объектов недвижимости на территории муниципального образования сельское поселение «Хасуртайское»» (далее – Регламент) разработан в целях повышения качества предоставления и доступности данной муниципальной услуги (далее – Услуга), создания комфортных условий для участников отношений, возникающих при ее предоставлении.Регламент устанавливает стандарт предоставления Услуги, определяет сроки и последовательность административных процедур и административных действий при ее предоставлении, а также формы контроля за исполнением административного регламента и досудебный порядок обжалования решений и действий (бездействий) администрации муниципального образования сельское поселение «Хасуртайское</w:t>
      </w:r>
      <w:bookmarkStart w:id="0" w:name="_GoBack"/>
      <w:bookmarkEnd w:id="0"/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» (далее – Администрация), ее должностных лиц и специалистов.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1.2. Заявителями на предоставление Услуги могут быть физические, юридические лица, индивидуальные предприниматели, или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1.3Порядок информирования об Услуге.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Заявитель может получить, а должностные лица Администрации обязаны предоставить достоверную информацию о содержании, порядке и условиях предоставления Услуги следующим образом: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1). В форме публичного информирования: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на официальном сайте муниципального образования сельское поселение «Хасуртайское» по адресу:www.khasurta.ru (далее – официальный сайт);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на информационных стендах в здании Администрации;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иными способами в соответствии с действующим законодательством.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2). В форме индивидуального информирования специалистом, в должностные обязанности которого входит работа по организации предоставления Услуги, в помещении Администрации по адресу: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671425, Республика Бурятия,Хоринский район, с. Хасурта, ул. Центральная, д. 108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 следующему графику: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понедельник – пятница с 8.00 ч. до 16.00 ч.,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перерыв: с 12.00 ч. до 13.00 ч.;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путем личного приема или по телефону для справок (консультаций) – 8(30148) 26-1-66.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 Администрации обязан: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назвать свою фамилию, имя, отчество, должность;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подробно и в вежливой форме ответить обратившемуся заявителю на интересующие его вопросы;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внимательно и уважительно относиться к заявителю, не унижать его чести и достоинства;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при устном информировании использовать официально-деловой стиль речи;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соблюдать время ответа на обращение, которое не должно превышать 15 минут. В случае,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Информирование (консультирование) осуществляется по следующим вопросам: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источник получения документов, необходимых для предоставления Услуги (орган власти, организация и их местонахождение);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требования к заверению - документов и сведений;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-входящий номер, под которым зарегистрированы в системе делопроизводства заявления и прилагаемые к ним материалы;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время приема и выдачи документов специалистами Администрации;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срок принятия решения о предоставлении Услуги или об отказе в ее предоставлении;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3). Информирование по иным вопросам осуществляется на основании письменного обращения путем направления ответов на заявления, запросы, обращения (далее – обращения) заявителей, поступивших в Администрацию: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 почте;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непосредственно в Администрацию к специалисту ответственному за прием, регистрацию заявлений;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 адресу электронной почты Администрации –lubovvladim2015@mail.ru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через официальный сайт, Интернет-приемная.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Индивидуальное письменное информирование должно содержать: ответы на поставленные заявителем вопросы в простой, четкой и понятной форме, должность, фамилию, инициалы и номер телефона исполнителя. Ответ подписывается главой Администрации или специалистом, в должностные обязанности которого входят рассмотрение такого рода вопросов и подготовка ответов на них. Письмо направляется в срок, не превышающий 15 (пятнадцать) дней со дня регистрации письменного обращения заявителя.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4). Заявители вправе получить муниципальную услугу через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Государственное бюджетное учреждение «Многофункциональный центр Республики Бурятия» по Хоринскому району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(далее - МФЦ) в случае заключения соглашения о взаимодействии между Администрацией и МФЦ, с момента вступления в силу соглашения о взаимодействии.</w:t>
      </w:r>
    </w:p>
    <w:p>
      <w:pPr>
        <w:pStyle w:val="90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Информация о местонахождении МФЦ: 671410 Республика Бурятия Хоринский район с.Хоринск ул. Ленина д.33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1.4 Требования к помещениям Администрации, в которых предоставляются Услуга.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Помещения, в которых предоставляются муниципальные услуги, должны отвечать требованиям обеспечения доступности для инвалидов в соответствии с законодательством Российской Федерации о социальной защите инвалидов.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"http://pravo-search.minjust.ru:8080/bigs/showDocument.html?id=CD0F2877-A8D4-4AFE-8668-DC69E6198BDD"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01.02.2016 г. № 3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 Стандарт предоставления муниципальной услуги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2.1. Наименование Услуги: Присвоение, изменение и аннулирование адресов объектов недвижимости на территории муниципального образования сельское поселение «Хасуртайское».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2.2. Услуга предоставляется должностными лицами и специалистами Администрации: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главой сельского поселения;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специалистом администрации сельского поселения.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предоставлении Услуги также участвуют: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Федеральная служба государственной регистрации, кадастра и картографии;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Федеральная налоговая служба России.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2.3. Результатом предоставления Услуги является выдача постановления о присвоении, изменении и аннулировании адресов объектов недвижимости на территории МО СП «Хасуртайское» или решение об отказе в присвоении объекту адресации адреса или аннулирование его адреса.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2.4. Срок предоставления Услуги не может превышать восемнадцати рабочих дней со дня подачи заявки и документов, указанных в пункте 2.7 настоящего Регламента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2.5.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постановления о присвоении, изменении и аннулировании адресов исчисляется со дня передачи МФЦ таких документов в Администрацию.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2.6. Предоставление Услуги осуществляется в соответствии со следующими нормативно-правовыми актами: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"http://pravo-search.minjust.ru:8080/bigs/showDocument.html?id=370BA400-14C4-4CDB-8A8B-B11F2A1A2F55"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Жилищный кодекс Российской Федерации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от 22.12.2004 года № 188-ФЗ;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 Федеральный закон Российской Федерации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"http://pravo-search.minjust.ru:8080/bigs/showDocument.html?id=FAB97FEE-1BF1-4535-B011-2658FBCAF500"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21.07.1997 № 122-ФЗ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 государственной регистрации прав на недвижимое имущество и сделок с ним";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Федеральный закон Российской Федерации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"http://pravo-search.minjust.ru:8080/bigs/showDocument.html?id=96E20C02-1B12-465A-B64C-24AA92270007"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0</w:t>
      </w:r>
      <w:r>
        <w:rPr>
          <w:rStyle w:val="20"/>
          <w:rFonts w:hint="default" w:ascii="Arial" w:hAnsi="Arial" w:cs="Arial"/>
          <w:i w:val="0"/>
          <w:iCs w:val="0"/>
          <w:caps w:val="0"/>
          <w:color w:val="FF0000"/>
          <w:spacing w:val="0"/>
          <w:sz w:val="20"/>
          <w:szCs w:val="20"/>
          <w:u w:val="none"/>
        </w:rPr>
        <w:t>4</w:t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.10.2003 г. № 131-ФЗ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"Об общих принципах организации местного самоуправления в Российской Федерации»;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Федеральный закон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"http://pravo-search.minjust.ru:8080/bigs/showDocument.html?id=4F48675C-2DC2-4B7B-8F43-C7D17AB9072F"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02.05.2006 № 59-ФЗ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 порядке рассмотрения обращений граждан Российской Федерации";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Федеральный закон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"http://pravo-search.minjust.ru:8080/bigs/showDocument.html?id=169FFAAF-0B96-47C8-9369-38141360223E"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27.07.2006 № 149-ФЗ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"Об информации, информационных технологиях и о защите информации";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Федеральный закон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"http://pravo-search.minjust.ru:8080/bigs/showDocument.html?id=17EFDF25-592A-4662-871D-9782B1A135CF"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24.07.2007 г. № 221-ФЗ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 государственном кадастре недвижимости;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Федеральный закон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"http://pravo-search.minjust.ru:8080/bigs/showDocument.html?id=BBA0BFB1-06C7-4E50-A8D3-FE1045784BF1"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27.07.2010 № 210-ФЗ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"Об организации предоставления государственных и муниципальных услуг";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"http://pravo-search.minjust.ru:8080/bigs/showDocument.html?id=EB9BFE6F-0DF9-4357-815C-65374ACA033F"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"http://pravo-search.minjust.ru:8080/bigs/showDocument.html?id=555B330B-D63A-4C7B-9655-4193566D5381"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Указ Президента Российской Федерации от 06.03.1997 № 188 "Об утверждении перечня сведений конфиденциального характера"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Постановление Правительства Российской Федерации от 19.11.2014 г., № 1221 «Об утверждении Правил присвоения, изменения и аннулирования адресов»,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"http://pravo-search.minjust.ru:8080/bigs/showDocument.html?id=F3FF4329-D682-4DDC-9773-D551B08CAD37"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Устав муниципального образования сельское поселение «Хасуртайское»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2.7. Документы, необходимые и обязательные для получения Услуги, предоставляемые заявителем: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Заявление о присвоении объекту адресации адреса или аннулировании его адреса составляется по форме, утвержденной Приказом Министерства финансов Российской Федерации от 11.12.2014 г. № 146н. Заявление о присвоении, изменении или аннулировании адресов объектов недвижимости на территории муниципального образования сельское поселение «Хасуртайское»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а) право хозяйственного ведения;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б) право оперативного управления;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в) право пожизненно наследуемого владения;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г) право постоянного (бессрочного) пользования.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д) право собственности.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Заявление представляется заявителем (представителем заявителя) в Администрацию или МФЦ по месту нахождения объекта адресации.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Заявление подписывается заявителем либо представителем заявителя.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паспорт гражданина РФ;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разрешение на временное проживание;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удостоверение беженца;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постоянно проживают на территории РФ;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-свидетельство о государственной регистрации юридического лица (для юридических лиц);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Свидетельства о государственной регистрации физического лица в качестве индивидуального предпринимателя, о государственной регистрации юридического лица заявитель вправе предоставить самостоятельно. Администрация запрашивает указанные документы в порядке межведомственного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К заявлению прилагаются следующие документы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а) правоустанавливающие и (или) правоудостоверяющие документы на объект (объекты)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случае прекращения существования объекта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случае отказа в осуществлении кадастрового учета объекта адресации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2.8. В соответствии с Федеральным законом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"http://pravo-search.minjust.ru:8080/bigs/showDocument.html?id=BBA0BFB1-06C7-4E50-A8D3-FE1045784BF1"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от 27 июля 2010 года № 210-ФЗ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Администрацияв порядке межведомственного взаимодействия запрашивает документы, указанные в п. 3), п. 2.7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Заявители (представители заявителя) при подаче заявления вправе приложить к нему документы, указанные в пункте 3, раздела 2.7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Документы, указанные в п. 3), п.2.7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2.9. Основания для отказа в приеме Заявления и документов, необходимых для предоставления муниципальной услуги, а также для приостановления муниципальной услуги отсутствуют.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Отсутствие документов, в соответствии с п.3) п. 2.7, не является отказом в приеме и регистрации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2.10. Отказ в предоставлении Услуги допускается в случае, если: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с заявлением о присвоении, изменении, аннулировании объекту адресации адреса обратилось лицо, не указанное в п.1),2) п. 2.7. настоящего Регламента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ответ на межведомственный запрос свидетельствует об отсутствии документа и (или) информации, необходимых для присвоения, изменения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документы, обязанность по предоставлению которых для присвоения, изменения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4) отсутствуют случаи и условия для присвоения, изменения объекту адресации адреса или аннулирования его адреса.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2.11. Решение об отказе в присвоении, изменении объекту адресации адреса или аннулировании его адреса должно содержать причину отказа с обязательной ссылкой на положения 2.10 Регламента, являющиеся основанием для принятия такого решения.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2.12. Решение об отказе в присвоении, изменении объекту адресации адреса или аннулировании его адреса может быть обжаловано в судебном порядке.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2.13. Услуга предоставляется бесплатно.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2.14. Показатели доступности и качества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Показателями доступности предоставления Услуги являются: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транспортная доступность места предоставления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обеспечение беспрепятственного доступа инвалидов к помещению, в котором предоставляется Услуга.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обеспечение возможности направления запроса в Администрацию по электронной почте;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размещение информации о порядке предоставления Услуги в сети Интернет;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обеспечение предоставления Услуги с использованием возможностей Единого портала государственных и муниципальных услуг.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Качество предоставления Услуги определяется: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получением Услуги своевременно и в соответствии со стандартом ее предоставления;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получением полной, актуальной и достоверной информации, в том числе в электронной форме, о ходе предоставления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- количество вынужденных взаимодействий заявителя с Администрацией должно быть не более двух (при подаче заявки с прилагаемыми документами и при получении результата Услуги);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отсутствием жалоб со стороны потребителей Услуги на нарушение требований стандарта ее предоставления.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2.15. Особенности предоставления Услуги в электронной форме.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 целью повышения эффективности деятельности по предоставлению Услуги, обеспечения ее открытости в части порядка, хода и качества предоставления, Услуга может предоставляться в электронной форме (при наличии технических возможностей).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этом случае ее предоставление имеет следующие особенности: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предоставление информации заявителям и обеспечение их доступа к сведениям об Услуге осуществляется посредством размещения их на официальном Интернет-сайте администрации муниципального образования сельское поселение «Хасуртайское», на Едином Интернет - портале государственных и муниципальных услуг (функций) Республики Бурятия и на Едином портале государственных и муниципальных услуг (функций);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обеспечение возможности подачи заявителем запроса и иных документов, необходимых для предоставления Услуги, приема таких запросов и документов, а также направления ответов по электронной почте или через Единый портал государственных и муниципальных услуг (функций);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обеспечение с помощью средств электронной связи (электронной почты, Единого портала государственных и муниципальных услуг (функций) возможности получения заявителем сведений о ходе выполнения его запроса о предоставлении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получение заявителем (представителем заявителя) результата предоставления муниципальной услуги в электронной форме.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2.16. Исполнитель не в праве требовать от заявителя: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муниципальных услуг;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находящихся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включением документов, указанных в части 6 статьи 7 Федерального закона.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Процесс предоставления Услуги включает следующие процедуры: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прием и регистрация Заявления и прилагаемых к нему документов, выдача расписки в получении документов заявителю;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проверка содержания представленных заявителем документов, направление запросов в органы, участвующие в предоставлении Услуги, и формирование полного пакета документов;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рассмотрение документов, подготовка проекта постановления Администрации о присвоении, изменении и аннулировании адресов на территории муниципального образования сельское поселение «Хасуртайское».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подписание и регистрация постановления Администрации, выдача его заявителю.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3.1 Прием и регистрация Заявления и прилагаемых к нему документов, выдача расписки в получении документов заявителю.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Основанием для начала выполнения данной процедуры является письменное Заявление (согласно утвержденной формы приложение №1) с приложением пакета документов, указанных в пункте п.2), п.3),п.2.7. настоящего административного регламента. Отсутствие документов указанных в п.3) п.2.7 настоящего регламента, в соответствии с п. 2.8. не является отказом в приеме и регистрации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Подача документов может осуществляется: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при личном обращении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путем почтового отправления;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по сети Интернет через Единый портал государственных и муниципальных услуг;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посредством электронной почты;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 посредством оказания услуг Государственное бюджетное учреждение «Многофункциональный центр Республики Бурятия» по Хоринскому району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(далее - МФЦ)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Прием и регистрация Заявления и прилагаемых к ней документов при личном обращении заявителя (его полномочного представителя) осуществляется в течение 15 минут, а при подаче документов почтовым отправлением, посредством электронной почты или по сети Интернет, через Единый портал государственных и муниципальных услуг – в течение 1 (одного) дня с момента получения Администрацией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Лицо, ответственное за выполнение процедуры - специалист Администрации, ответственный за прием и регистрацию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Специалист Администрации, ответственный за прием и регистрацию документов при личном обращении заявителя: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устанавливает личность заявителя, в том числе проверяет документ, удостоверяющий личность, проверяет полномочия заявителя либо его представителя.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проверяет комплектность и правильность оформления представленных документов и удостоверяется, что: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количество и наименования документов соответствуют прилагаемой к ним описи;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документы представлены в объеме, необходимом для оказания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тексты документов написаны разборчиво;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фамилии, имена и отчества физических лиц, адреса их мест жительства ИНН и ОГРН для юридических лиц приведены полностью;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документах нет подчисток, приписок, зачеркнутых слов и иных, не оговоренных исправлений;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документы не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Если, при личном представлении документов их копии нотариально не заверены, специалист Администрации, ответственный за данную процедуру, 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В случае выявления несоответствия представленного комплекта документов описи, а также при наличии оснований, указанных в п. 2.10. настоящего регламента, специалист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случае соответствия представленного комплекта документов их описи и правилам оформления, специалист регистрирует Заявление под очередным порядковым номером в журнале регистрации заявлений о присвоении и изменении нумерации жилых помещений на территории МО СП «Хасуртайское» 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Специалист Администрации, ответственный за прием и регистрацию документов, выдает расписку в получении этих документов с указанием их перечня и даты их получения (приложение №1)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При поступлении Заявления и документов почтовым отправлением,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Сопроводительное письмо к Заявлению и документам о присвоении и изменении нумерации жилых помещений на территории МО СП «Хасуртайское», регистрируется по правилам делопроизводства как входящая корреспонденция с указанием способа ее получения.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Копии документов, представленные заявителем почтовым отправлением, должны быть заверены нотариально.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При обращении заявителя, самостоятельно подавшего заявление через Интернет-портал, в Администрацию с документами, подтверждающими сведения, внесенные в Заявление, специалист Администрации, ответственный за прием и регистрацию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устанавливает предмет обращения;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устанавливает личность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-проверяет наличие документов, необходимых для предоставления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- проверяет соответствие представленных документов установленным требованиям.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Документы, передаваемые по сети Интернет с использованием Единого портала государственных и муниципальных услуг, заверяются простой или квалифицированной электронной подписью в соответствии с законодательством.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При получении Заявления и документов представляемых в электронной форме, специалист Администрации, являющийся ответственным за прием документов, переводит их на бумажный носитель и 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Сразу после регистрации Заявления с прилагаемыми документами специалист Администрации, ответственный за прием и регистрацию документов, оформляет опись принятых документов. В описи указываются: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дата представления документов;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перечень документов с указанием их наименования, реквизитов;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количество листов в каждом документе;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регистрационный номер Заявления;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тот же день, указанный специалист Администрации формирует дело, каждый лист которого нумеруется, и передает сформированное дело специалисту Администрации, ответственному за организацию предоставления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Рассмотрение Заявления может быть прекращено при поступлении от заявителя, письменного заявления о прекращении рассмотрения данной Заявки.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3.2. Проверка содержания представленных заявителем документов, направление запросов в органы, участвующие в предоставлении Услуги, и формирование полного пакета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Основанием начала выполнения процедуры является поступление сформированного дела специалисту, ответственному за организацию предоставления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Время выполнения процедуры составляет не более одного рабочего дня.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Лицо, ответственное за выполнение процедуры - специалист Администрации, ответственный за организацию предоставления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 проверяет представленные документы на предмет соответствия их содержания, установленным законодательством. А так же составляет перечень документов, необходимых и обязательных для предоставления Услуги, но не представленных заявителем.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 Администрации подготавливает в течение двух дней проекты запросов, за подписью главы сельского поселения, на документы, получаемые по каналам межведомственного взаимодействия в соответствии с п.3) п.27 данного регламента.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После получения недостающих документов по каналам межведомственной связи, специалист, ответственный за организацию предоставления Услуги, формирует полный пакет документов, необходимых для предоставления Услуги (не более пяти рабочих дней).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3.3. Рассмотрение документов, подготовка проекта постановления Администрации «Присвоение, изменение и аннулирование адресов (отказе присвоения, изменения и аннулирования адресов на территории муниципального образования сельское поселение «Хасуртайское».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При присвоении объекту адресации адреса или аннулировании его адреса Специалист администрации обязан: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а) определить возможность присвоения объекту адресации адреса или аннулирования его адреса;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б) провести осмотр местонахождения объекта адресации (при необходимости);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Основанием начала выполнения процедуры рассмотрения, сформированного пакета документов, является отсутствие причин в отказе предоставления Услуги, указанных в п.2.10 настоящего регламента.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3.4 По результатам рассмотрения документов, готовится проект постановления Администрации о «Присвоение, изменение и аннулирование адресов (отказе присвоения, изменения и аннулирования адресов на территории муниципального образования сельское поселение «Хасуртайское», за подписью главы администрации.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Проект постановления о присвоении, изменении адреса объекту содержит: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-присвоенный объекту адресации адрес;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-реквизиты и наименования документов, на основании которых принято решение о присвоении адреса;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-описание местоположения объекта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-кадастровые номера, адреса и сведения об объектах недвижимости, из которых образуется объект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в 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Проект постановления об аннулировании адреса объекта содержит: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-аннулируемый адрес объекта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-уникальный номер аннулируемого адреса объекта адресации в государственном адресном реестре;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-причину аннулирования адреса объекта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Проект постановления об аннулировании адреса объекта адресации в случае присвоения объекту адресации нового адреса может быть объединен с проектом постановления о присвоении этому объекту адресации нового адреса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Срок выполнения процедуры – 7 рабочих дней с даты - получения сформированного пакета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Ответственный за выполнение процедуры - специалист, ответственный за организацию предоставления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3.4 Подписание и регистрация постановления Администрации, выдача его заявителю.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Основанием начала выполнения процедуры является подписание главой сельского поселения постановления «Присвоение, изменение и аннулирование адресов (отказе присвоения, изменения и аннулирования адресов на территории муниципального образования сельское поселение «Хасуртайское» и передача его в порядке делопроизводства для регистрации специалисту, который обеспечивает регистрацию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 Администрации, ответственный за прием и регистрацию документов, регистрирует и выдает постановление лично заявителю или его законному представителю, под собственноручную подпись, регистрируя факт и дату выдачи.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Срок выполнения процедуры – 2 рабочих дня с даты - подписания Постановления главой сельсовета.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3.5. блок-схема предоставления государственной услуги приводится в приложении №3 на приложение №2.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4. Формы контроля за исполнением административного регламента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4.1. Текущий контроль за соблюдением порядка предоставления Услуги в ходе ее предоставления, в том числе за соблюдением последовательности действий, определенных административными процедурами настоящего административного регламента, осуществляется главой «поселения».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4.2. Контроль за полнотой и качеством предоставления Услуги включает в себя проведение плановых и внеплановых (по жалобам заявителей) проверок.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Республики Бурятия, иных правовых актов, а также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Периодичность проведения плановых проверок устанавливается, а назначение внеплановых проверок осуществляется главой «поселения».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4.3. Персональная ответственность должностных лиц при предоставлении Услуги.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Должностное лицо Администрации, ответственное за прием, отправку и регистрацию документации, несет персональную ответственность за: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Соблюдение порядка и сроков приема и регистрации обращения заявителя.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Соблюдение порядка и сроков передачи должностным лицам Администрации пакета входящих документов.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- Соблюдение порядка и сроков регистрации и направления ответа на обращение заявителя.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 Специалист, ответственный за организацию предоставления Услуги,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 Досудебное (внесудебное) обжалование заявителем решений и действий (бездействия) администрации муниципального образования сельское поселение «Хасуртайское» предоставляющей муниципальную услугу, а также должностных лиц и специалистов администрации муниципального образования 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5.1. Предмет досудебного (внесудебного) обжалования заявителем решений и действий (бездействия) Администрации, должностного лица Администрации или специалистов Администрации.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Заявитель может обратиться с жалобой в следующих случаях: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Нарушение срока регистрации запроса заявителя о муниципальной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Нарушение срока предоставления муниципальной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правовыми актами муниципального образования сельское поселение «Хасуртайское», настоящим регламентом, для предоставления Услуги;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правовыми актами муниципального образования сельское поселение «Хасуртайское», настоящим регламентом, для предоставления Услуги у заявителя;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правовыми актами муниципального образования сельское поселение «Хасуртайское», настоящим регламентом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7) Отказе Администрации или ее должностного лица,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5.2. Общие требования к порядку подачи и рассмотрения жалобы.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1). Жалоба подается в письменной форме на бумажном носителе, в электронной форме в Администрацию. Жалобы на решения, принятые главой администрации, предоставляющего Услугу, подаются в вышестоящий орган.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2). Жалоба может быть направлена по почте, через Интернет-портал с использованием информационно-телекоммуникационной сети "Интернет", электронную почту Администрации, предоставляющей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3). Особенности подачи и рассмотрения жалоб на решения и действия (бездействие) Администрации, должностного лица Администрации или специалистов Администрации, устанавливаются соответственно нормативными правовыми актами Российской Федерации, нормативными правовыми актами Республики Бурятия, правовыми актами МО СП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5.3. Жалоба должна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1) Наименование Администрации, должностного лица Администрации или специалистов Администрации, решения и действия (бездействие) которых обжалуются;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0"/>
          <w:szCs w:val="20"/>
        </w:rPr>
        <w:t>3) сведения об обжалуемых решениях и действиях (бездействии) Администрации, должностного лица Администрации или специалистов Администрации;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или специалистов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или специалистов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5.5. По результатам рассмотрения жалобы Администрация, принимает одно из следующих решений: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а также в иных формах;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2) Отказывает в удовлетворении жалобы.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5.6. Не позднее дня, следующего за днем принятия решения, указанного в части 7 статьи 11.2. Федерального закона № 210,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11.2. Федерального закона №210, незамедлительно направляет имеющиеся материалы в органы прокуратуры.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5.8. Заявители имеют право обжаловать решение по жалобе в судебном порядке в соответствии с законодательством Российской Федерации.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(в ред. 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instrText xml:space="preserve"> HYPERLINK "http://pravo-search.minjust.ru:8080/bigs/showDocument.html?id=2514F014-61EE-47C1-B3A5-83C7BDB3E62E" \t "http://pravo-search.minjust.ru:8080/bigs/_blank" </w:instrTex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separate"/>
      </w:r>
      <w:r>
        <w:rPr>
          <w:rStyle w:val="20"/>
          <w:rFonts w:hint="default" w:ascii="Arial" w:hAnsi="Arial" w:cs="Arial"/>
          <w:i w:val="0"/>
          <w:iCs w:val="0"/>
          <w:caps w:val="0"/>
          <w:color w:val="0000FF"/>
          <w:spacing w:val="0"/>
          <w:sz w:val="20"/>
          <w:szCs w:val="20"/>
          <w:u w:val="none"/>
        </w:rPr>
        <w:t>Постановления от 09.09.2016 г. № 21</w:t>
      </w:r>
      <w:r>
        <w:rPr>
          <w:rFonts w:hint="default" w:ascii="Arial" w:hAnsi="Arial" w:cs="Arial" w:eastAsiaTheme="minorEastAsia"/>
          <w:i w:val="0"/>
          <w:iCs w:val="0"/>
          <w:caps w:val="0"/>
          <w:color w:val="0000FF"/>
          <w:spacing w:val="0"/>
          <w:kern w:val="0"/>
          <w:sz w:val="20"/>
          <w:szCs w:val="20"/>
          <w:u w:val="none"/>
          <w:lang w:val="en-US" w:eastAsia="zh-CN" w:bidi="ar"/>
        </w:rPr>
        <w:fldChar w:fldCharType="end"/>
      </w: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Приложение №1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к административному регламенту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«Присвоение, изменение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и аннулирование адресов объектов недвижимости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на территории муниципального образования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сельское поселение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РАСПИСКА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 получении документов для присвоения, изменения и аннулирования адресов на территории МО СП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Специалистом администрации МО СП «Хасуртайское» ______________________________________________________________________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(фамилия, инициалы, номер телефона специалиста Администрации)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получены документы для присвоения, изменения и аннулирования адресов на территории МО СП «Хасуртайское»от___________________________________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(фамилия, имя, отчество, наименование юридического лица)</w:t>
      </w:r>
    </w:p>
    <w:tbl>
      <w:tblPr>
        <w:tblW w:w="114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301"/>
        <w:gridCol w:w="2567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№ п/п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Наименование и реквизиты документов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Кол-во экземпляров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Кол-во листов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1.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2.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3.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rPr>
                <w:rFonts w:hint="eastAsia" w:ascii="SimSu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4.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5.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6.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8.</w:t>
            </w:r>
          </w:p>
        </w:tc>
        <w:tc>
          <w:tcPr>
            <w:tcW w:w="27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00" w:type="pct"/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0" w:type="pc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nil"/>
            </w:tcBorders>
            <w:shd w:val="clear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ВСЕГО: ___________ документов на ________ листах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______________________________________________________________________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Специалист МО СП «Хасуртайское»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_________________                                   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(дата)                                                                          (подпись)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Заявитель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_________________ 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(дата) (подпись)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Заявка с прилагаемыми к нему документами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Личное обращение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Почтовое  отправление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Электронная почта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Единый портал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Перевод документов на бумажный носитель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Назначение личного обращения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Прием и регистрация заявки и прилагаемых к нему документов, выдача расписки в получении документов заявителю (1 день)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Отказ в принятии документов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Проверка содержания представленных заявителем документов(1 день) , направление запросов в органы участвующие в предоставление Услуги (2 дня), получение ответов на запросы (5 дней)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Рассмотрение документов, 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подготовка проекта постановления Администрации 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о 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п</w:t>
            </w: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рисвоении, изменении и аннулировании(отказе в присвоении , изменении, аннулировании) адресов  на территории  МО СП «Хасуртайское»  (7 дней)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Подписание и регистрация постановления Администрации,  выдача его заявителю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(2 дня)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Направление расписки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Выдача Постановления о присвоении и изменении  нумерации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Выдача Постановления  об отказе в присвоении и изменении) нумерации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По каналам межведомственного взаимодействия      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В Федеральную службу государственной регистрации, кадастра и картографии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В Федеральную налоговую службу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       ЗАЯВИТЕЛЬ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Приложение №2 к Административному регламенту «Присвоение, изменение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и аннулирование адресов объектов недвижимости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на территории муниципального образования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сельское поселение «Хасуртайское»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7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 МФЦ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7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sectPr>
      <w:pgSz w:w="11906" w:h="16838"/>
      <w:pgMar w:top="1440" w:right="7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00C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D2E204C"/>
    <w:rsid w:val="71327A78"/>
    <w:rsid w:val="722F00C9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2021-12-16T03:18:00Z</dcterms:created>
  <dc:creator>Наталья</dc:creator>
  <cp:lastModifiedBy>Наталья</cp:lastModifiedBy>
  <dcterms:modified xsi:type="dcterms:W3CDTF">2021-12-16T03:37:43Z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14C9CD9AFA134187B5C73B7F05343975</vt:lpwstr>
  </property>
</Properties>
</file>